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黑体" w:cs="Times New Roman"/>
          <w:b w:val="0"/>
          <w:bCs/>
          <w:snapToGrid/>
          <w:color w:val="auto"/>
          <w:spacing w:val="0"/>
          <w:w w:val="100"/>
          <w:kern w:val="0"/>
          <w:position w:val="0"/>
          <w:sz w:val="32"/>
          <w:szCs w:val="32"/>
          <w:u w:val="none" w:color="auto"/>
          <w:vertAlign w:val="baseline"/>
          <w:lang w:val="en-US" w:eastAsia="zh-CN"/>
        </w:rPr>
      </w:pPr>
      <w:r>
        <w:rPr>
          <w:rFonts w:hint="default" w:ascii="Times New Roman" w:hAnsi="Times New Roman" w:eastAsia="黑体" w:cs="Times New Roman"/>
          <w:b w:val="0"/>
          <w:bCs/>
          <w:snapToGrid/>
          <w:color w:val="auto"/>
          <w:spacing w:val="0"/>
          <w:w w:val="100"/>
          <w:kern w:val="0"/>
          <w:position w:val="0"/>
          <w:sz w:val="32"/>
          <w:szCs w:val="32"/>
          <w:u w:val="none" w:color="auto"/>
          <w:vertAlign w:val="baseline"/>
          <w:lang w:val="en-US" w:eastAsia="zh-CN"/>
        </w:rPr>
        <w:t>附件1</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kern w:val="0"/>
          <w:sz w:val="44"/>
          <w:szCs w:val="44"/>
          <w:lang w:val="en-US" w:eastAsia="zh-CN" w:bidi="ar"/>
        </w:rPr>
      </w:pPr>
      <w:bookmarkStart w:id="0" w:name="_GoBack"/>
      <w:r>
        <w:rPr>
          <w:rFonts w:hint="default" w:ascii="Times New Roman" w:hAnsi="Times New Roman" w:eastAsia="方正小标宋简体" w:cs="Times New Roman"/>
          <w:kern w:val="0"/>
          <w:sz w:val="44"/>
          <w:szCs w:val="44"/>
          <w:lang w:val="en-US" w:eastAsia="zh-CN" w:bidi="ar"/>
        </w:rPr>
        <w:t>2026年广西社科界智库一般课题选题</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kern w:val="0"/>
          <w:sz w:val="44"/>
          <w:szCs w:val="44"/>
          <w:lang w:val="en-US" w:eastAsia="zh-CN" w:bidi="ar"/>
        </w:rPr>
      </w:pPr>
      <w:r>
        <w:rPr>
          <w:rFonts w:hint="default" w:ascii="Times New Roman" w:hAnsi="Times New Roman" w:eastAsia="方正小标宋简体" w:cs="Times New Roman"/>
          <w:kern w:val="0"/>
          <w:sz w:val="44"/>
          <w:szCs w:val="44"/>
          <w:lang w:val="en-US" w:eastAsia="zh-CN" w:bidi="ar"/>
        </w:rPr>
        <w:t>参考方向</w:t>
      </w:r>
    </w:p>
    <w:bookmarkEnd w:id="0"/>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kern w:val="0"/>
          <w:sz w:val="44"/>
          <w:szCs w:val="4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kern w:val="0"/>
          <w:sz w:val="32"/>
          <w:szCs w:val="32"/>
          <w:lang w:val="en-US" w:eastAsia="zh-CN" w:bidi="ar"/>
        </w:rPr>
        <w:t xml:space="preserve">一、理论热点聚焦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cs="Times New Roman"/>
        </w:rPr>
      </w:pPr>
      <w:r>
        <w:rPr>
          <w:rFonts w:hint="default" w:ascii="Times New Roman" w:hAnsi="Times New Roman" w:eastAsia="仿宋_GB2312" w:cs="Times New Roman"/>
          <w:kern w:val="0"/>
          <w:sz w:val="32"/>
          <w:szCs w:val="32"/>
          <w:lang w:val="en-US" w:eastAsia="zh-CN" w:bidi="ar"/>
        </w:rPr>
        <w:t>1.习近平新时代中国特色社会主义思想的科学体系、鲜明特质和重大意义研究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2.习近平总书记关于广西工作论述重要要求的理论内涵及其实践要求研究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3.习近平文化思想的广西实践研究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4.习近平生态文明思想的广西实践研究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5.习近平经济思想的广西实践研究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6.习近平法治思想的广西实践研究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7.党的二十届四中全会精神研究阐释</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 xml:space="preserve">8.新质生产力的理论内涵、实践要求与政策体系研究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9.高水平社会主义市场经济体制的内涵、特征与建设路径研究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 xml:space="preserve">10.中国式现代化五大特征的科学社会主义学理阐释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 xml:space="preserve">11.数字生产力与生产关系的变革研究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 xml:space="preserve">12.人工智能与科学社会主义发展研究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13.中国式现代化的超越性及其文明意义研究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仿宋_GB2312" w:cs="Times New Roman"/>
          <w:kern w:val="0"/>
          <w:sz w:val="32"/>
          <w:szCs w:val="32"/>
          <w:lang w:val="en-US" w:eastAsia="zh-CN" w:bidi="ar"/>
        </w:rPr>
        <w:t>14.数智时代的意识形态安全与网络治理研究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仿宋_GB2312" w:cs="Times New Roman"/>
          <w:kern w:val="0"/>
          <w:sz w:val="32"/>
          <w:szCs w:val="32"/>
          <w:lang w:val="en-US" w:eastAsia="zh-CN" w:bidi="ar"/>
        </w:rPr>
        <w:t>15.人类命运共同体理念的国际传播与全球治理变革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二、经济与产业发展</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仿宋_GB2312" w:cs="Times New Roman"/>
          <w:kern w:val="0"/>
          <w:sz w:val="32"/>
          <w:szCs w:val="32"/>
          <w:lang w:val="en-US" w:eastAsia="zh-CN" w:bidi="ar"/>
        </w:rPr>
        <w:t>16.广西制造业十大现代化支柱产业（任选其一）高质量发展研究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仿宋_GB2312" w:cs="Times New Roman"/>
          <w:kern w:val="0"/>
          <w:sz w:val="32"/>
          <w:szCs w:val="32"/>
          <w:lang w:val="en-US" w:eastAsia="zh-CN" w:bidi="ar"/>
        </w:rPr>
        <w:t>17.广西现代物流业提质增效研究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仿宋_GB2312" w:cs="Times New Roman"/>
          <w:kern w:val="0"/>
          <w:sz w:val="32"/>
          <w:szCs w:val="32"/>
          <w:lang w:val="en-US" w:eastAsia="zh-CN" w:bidi="ar"/>
        </w:rPr>
        <w:t>18.广西提升跨境金融服务质效研究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仿宋_GB2312" w:cs="Times New Roman"/>
          <w:kern w:val="0"/>
          <w:sz w:val="32"/>
          <w:szCs w:val="32"/>
          <w:lang w:val="en-US" w:eastAsia="zh-CN" w:bidi="ar"/>
        </w:rPr>
        <w:t>19.丰富融资方式推动国有资本保值增值研究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仿宋_GB2312" w:cs="Times New Roman"/>
          <w:kern w:val="0"/>
          <w:sz w:val="32"/>
          <w:szCs w:val="32"/>
          <w:lang w:val="en-US" w:eastAsia="zh-CN" w:bidi="ar"/>
        </w:rPr>
        <w:t>20.盘活用好地方低效用地、闲置房产、存量基础设施等研究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仿宋_GB2312" w:cs="Times New Roman"/>
          <w:kern w:val="0"/>
          <w:sz w:val="32"/>
          <w:szCs w:val="32"/>
          <w:lang w:val="en-US" w:eastAsia="zh-CN" w:bidi="ar"/>
        </w:rPr>
        <w:t>21.广西提升数字贸易能力研究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仿宋_GB2312" w:cs="Times New Roman"/>
          <w:kern w:val="0"/>
          <w:sz w:val="32"/>
          <w:szCs w:val="32"/>
          <w:lang w:val="en-US" w:eastAsia="zh-CN" w:bidi="ar"/>
        </w:rPr>
        <w:t>22.广西培育面向东盟的大宗商品交易市场研究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仿宋_GB2312" w:cs="Times New Roman"/>
          <w:kern w:val="0"/>
          <w:sz w:val="32"/>
          <w:szCs w:val="32"/>
          <w:lang w:val="en-US" w:eastAsia="zh-CN" w:bidi="ar"/>
        </w:rPr>
        <w:t>23.提升中越跨境经济合作水平研究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仿宋_GB2312" w:cs="Times New Roman"/>
          <w:kern w:val="0"/>
          <w:sz w:val="32"/>
          <w:szCs w:val="32"/>
          <w:lang w:val="en-US" w:eastAsia="zh-CN" w:bidi="ar"/>
        </w:rPr>
        <w:t>24.广西现代文娱产业高质量发展研究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仿宋_GB2312" w:cs="Times New Roman"/>
          <w:kern w:val="0"/>
          <w:sz w:val="32"/>
          <w:szCs w:val="32"/>
          <w:lang w:val="en-US" w:eastAsia="zh-CN" w:bidi="ar"/>
        </w:rPr>
        <w:t>25.广西水果产业提质升级研究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仿宋_GB2312" w:cs="Times New Roman"/>
          <w:kern w:val="0"/>
          <w:sz w:val="32"/>
          <w:szCs w:val="32"/>
          <w:lang w:val="en-US" w:eastAsia="zh-CN" w:bidi="ar"/>
        </w:rPr>
        <w:t>26.广西加快林下经济高质量发展研究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仿宋_GB2312" w:cs="Times New Roman"/>
          <w:kern w:val="0"/>
          <w:sz w:val="32"/>
          <w:szCs w:val="32"/>
          <w:lang w:val="en-US" w:eastAsia="zh-CN" w:bidi="ar"/>
        </w:rPr>
        <w:t>27.广西临港工业高质量发展研究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28.广西加快建设国家级海洋牧场研究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29.广西加快建设国家综合能源安全保障区研究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30.广西拓展入境消费研究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31.广西提升自贸区制度创新与集成研究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32.广西建立健全产业发展跨境合作机制研究</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33.高品质打造平陆运河科创走廊研究</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34.平陆运河经济带与珠江</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西江经济带联动发展研究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kern w:val="0"/>
          <w:sz w:val="32"/>
          <w:szCs w:val="32"/>
          <w:lang w:val="en-US" w:eastAsia="zh-CN" w:bidi="ar"/>
        </w:rPr>
      </w:pPr>
      <w:r>
        <w:rPr>
          <w:rFonts w:hint="default" w:ascii="Times New Roman" w:hAnsi="Times New Roman" w:eastAsia="仿宋_GB2312" w:cs="Times New Roman"/>
          <w:kern w:val="0"/>
          <w:sz w:val="32"/>
          <w:szCs w:val="32"/>
          <w:lang w:val="en-US" w:eastAsia="zh-CN" w:bidi="ar"/>
        </w:rPr>
        <w:t>35.广西有色金属产业高质量发展研究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b w:val="0"/>
          <w:bCs w:val="0"/>
          <w:kern w:val="0"/>
          <w:sz w:val="32"/>
          <w:szCs w:val="32"/>
          <w:lang w:val="en-US" w:eastAsia="zh-CN" w:bidi="ar"/>
        </w:rPr>
        <w:t>36.广西工业人形机器人产业化路径与“东盟应用”模式研究</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三、人工智能与科技</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kern w:val="0"/>
          <w:sz w:val="32"/>
          <w:szCs w:val="32"/>
          <w:lang w:val="en-US" w:eastAsia="zh-CN" w:bidi="ar"/>
        </w:rPr>
      </w:pPr>
      <w:r>
        <w:rPr>
          <w:rFonts w:hint="default" w:ascii="Times New Roman" w:hAnsi="Times New Roman" w:eastAsia="仿宋_GB2312" w:cs="Times New Roman"/>
          <w:b w:val="0"/>
          <w:bCs w:val="0"/>
          <w:kern w:val="0"/>
          <w:sz w:val="32"/>
          <w:szCs w:val="32"/>
          <w:lang w:val="en-US" w:eastAsia="zh-CN" w:bidi="ar"/>
        </w:rPr>
        <w:t>37.“广西集成”模式下的中国</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b w:val="0"/>
          <w:bCs w:val="0"/>
          <w:kern w:val="0"/>
          <w:sz w:val="32"/>
          <w:szCs w:val="32"/>
          <w:lang w:val="en-US" w:eastAsia="zh-CN" w:bidi="ar"/>
        </w:rPr>
        <w:t>东盟人工智能跨境产业生态研究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kern w:val="0"/>
          <w:sz w:val="32"/>
          <w:szCs w:val="32"/>
          <w:lang w:val="en-US" w:eastAsia="zh-CN" w:bidi="ar"/>
        </w:rPr>
      </w:pPr>
      <w:r>
        <w:rPr>
          <w:rFonts w:hint="default" w:ascii="Times New Roman" w:hAnsi="Times New Roman" w:eastAsia="仿宋_GB2312" w:cs="Times New Roman"/>
          <w:b w:val="0"/>
          <w:bCs w:val="0"/>
          <w:kern w:val="0"/>
          <w:sz w:val="32"/>
          <w:szCs w:val="32"/>
          <w:lang w:val="en-US" w:eastAsia="zh-CN" w:bidi="ar"/>
        </w:rPr>
        <w:t>38.中国</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b w:val="0"/>
          <w:bCs w:val="0"/>
          <w:kern w:val="0"/>
          <w:sz w:val="32"/>
          <w:szCs w:val="32"/>
          <w:lang w:val="en-US" w:eastAsia="zh-CN" w:bidi="ar"/>
        </w:rPr>
        <w:t>东盟人工智能治理规则与伦理共识研究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kern w:val="0"/>
          <w:sz w:val="32"/>
          <w:szCs w:val="32"/>
          <w:lang w:val="en-US" w:eastAsia="zh-CN" w:bidi="ar"/>
        </w:rPr>
      </w:pPr>
      <w:r>
        <w:rPr>
          <w:rFonts w:hint="default" w:ascii="Times New Roman" w:hAnsi="Times New Roman" w:eastAsia="仿宋_GB2312" w:cs="Times New Roman"/>
          <w:b w:val="0"/>
          <w:bCs w:val="0"/>
          <w:kern w:val="0"/>
          <w:sz w:val="32"/>
          <w:szCs w:val="32"/>
          <w:lang w:val="en-US" w:eastAsia="zh-CN" w:bidi="ar"/>
        </w:rPr>
        <w:t>39.人工智能赋能中国</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b w:val="0"/>
          <w:bCs w:val="0"/>
          <w:kern w:val="0"/>
          <w:sz w:val="32"/>
          <w:szCs w:val="32"/>
          <w:lang w:val="en-US" w:eastAsia="zh-CN" w:bidi="ar"/>
        </w:rPr>
        <w:t>东盟跨境文化交流与传播研究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kern w:val="0"/>
          <w:sz w:val="32"/>
          <w:szCs w:val="32"/>
          <w:lang w:val="en-US" w:eastAsia="zh-CN" w:bidi="ar"/>
        </w:rPr>
      </w:pPr>
      <w:r>
        <w:rPr>
          <w:rFonts w:hint="default" w:ascii="Times New Roman" w:hAnsi="Times New Roman" w:eastAsia="仿宋_GB2312" w:cs="Times New Roman"/>
          <w:b w:val="0"/>
          <w:bCs w:val="0"/>
          <w:kern w:val="0"/>
          <w:sz w:val="32"/>
          <w:szCs w:val="32"/>
          <w:lang w:val="en-US" w:eastAsia="zh-CN" w:bidi="ar"/>
        </w:rPr>
        <w:t>40.“人工智能+医疗”跨境合作模式研究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kern w:val="0"/>
          <w:sz w:val="32"/>
          <w:szCs w:val="32"/>
          <w:lang w:val="en-US" w:eastAsia="zh-CN" w:bidi="ar"/>
        </w:rPr>
      </w:pPr>
      <w:r>
        <w:rPr>
          <w:rFonts w:hint="default" w:ascii="Times New Roman" w:hAnsi="Times New Roman" w:eastAsia="仿宋_GB2312" w:cs="Times New Roman"/>
          <w:b w:val="0"/>
          <w:bCs w:val="0"/>
          <w:kern w:val="0"/>
          <w:sz w:val="32"/>
          <w:szCs w:val="32"/>
          <w:lang w:val="en-US" w:eastAsia="zh-CN" w:bidi="ar"/>
        </w:rPr>
        <w:t>41.智慧农业AI技术面向东盟的适配与推广研究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kern w:val="0"/>
          <w:sz w:val="32"/>
          <w:szCs w:val="32"/>
          <w:lang w:val="en-US" w:eastAsia="zh-CN" w:bidi="ar"/>
        </w:rPr>
      </w:pPr>
      <w:r>
        <w:rPr>
          <w:rFonts w:hint="default" w:ascii="Times New Roman" w:hAnsi="Times New Roman" w:eastAsia="仿宋_GB2312" w:cs="Times New Roman"/>
          <w:b w:val="0"/>
          <w:bCs w:val="0"/>
          <w:kern w:val="0"/>
          <w:sz w:val="32"/>
          <w:szCs w:val="32"/>
          <w:lang w:val="en-US" w:eastAsia="zh-CN" w:bidi="ar"/>
        </w:rPr>
        <w:t>42.中国</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b w:val="0"/>
          <w:bCs w:val="0"/>
          <w:kern w:val="0"/>
          <w:sz w:val="32"/>
          <w:szCs w:val="32"/>
          <w:lang w:val="en-US" w:eastAsia="zh-CN" w:bidi="ar"/>
        </w:rPr>
        <w:t>东盟跨境算力调度枢纽建设研究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kern w:val="0"/>
          <w:sz w:val="32"/>
          <w:szCs w:val="32"/>
          <w:lang w:val="en-US" w:eastAsia="zh-CN" w:bidi="ar"/>
        </w:rPr>
      </w:pPr>
      <w:r>
        <w:rPr>
          <w:rFonts w:hint="default" w:ascii="Times New Roman" w:hAnsi="Times New Roman" w:eastAsia="仿宋_GB2312" w:cs="Times New Roman"/>
          <w:b w:val="0"/>
          <w:bCs w:val="0"/>
          <w:kern w:val="0"/>
          <w:sz w:val="32"/>
          <w:szCs w:val="32"/>
          <w:lang w:val="en-US" w:eastAsia="zh-CN" w:bidi="ar"/>
        </w:rPr>
        <w:t>43.广西人工智能产业基金与投融资机制创新研究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kern w:val="0"/>
          <w:sz w:val="32"/>
          <w:szCs w:val="32"/>
          <w:lang w:val="en-US" w:eastAsia="zh-CN" w:bidi="ar"/>
        </w:rPr>
      </w:pPr>
      <w:r>
        <w:rPr>
          <w:rFonts w:hint="default" w:ascii="Times New Roman" w:hAnsi="Times New Roman" w:eastAsia="仿宋_GB2312" w:cs="Times New Roman"/>
          <w:b w:val="0"/>
          <w:bCs w:val="0"/>
          <w:kern w:val="0"/>
          <w:sz w:val="32"/>
          <w:szCs w:val="32"/>
          <w:lang w:val="en-US" w:eastAsia="zh-CN" w:bidi="ar"/>
        </w:rPr>
        <w:t>44.中国</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b w:val="0"/>
          <w:bCs w:val="0"/>
          <w:kern w:val="0"/>
          <w:sz w:val="32"/>
          <w:szCs w:val="32"/>
          <w:lang w:val="en-US" w:eastAsia="zh-CN" w:bidi="ar"/>
        </w:rPr>
        <w:t>东盟AI人才跨境培养与流动机制研究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b w:val="0"/>
          <w:bCs w:val="0"/>
          <w:kern w:val="0"/>
          <w:sz w:val="32"/>
          <w:szCs w:val="32"/>
          <w:lang w:val="en-US" w:eastAsia="zh-CN" w:bidi="ar"/>
        </w:rPr>
        <w:t>45.广西文旅产业的AI赋能推广研究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46.广西推进算电协同研究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47.人工智能与工业互联网融合研究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48.构建</w:t>
      </w:r>
      <w:r>
        <w:rPr>
          <w:rFonts w:hint="eastAsia" w:ascii="Times New Roman" w:hAnsi="Times New Roman" w:eastAsia="仿宋_GB2312" w:cs="Times New Roman"/>
          <w:kern w:val="0"/>
          <w:sz w:val="32"/>
          <w:szCs w:val="32"/>
          <w:lang w:val="en-US" w:eastAsia="zh-CN" w:bidi="ar"/>
        </w:rPr>
        <w:t>中国—东盟</w:t>
      </w:r>
      <w:r>
        <w:rPr>
          <w:rFonts w:hint="default" w:ascii="Times New Roman" w:hAnsi="Times New Roman" w:eastAsia="仿宋_GB2312" w:cs="Times New Roman"/>
          <w:kern w:val="0"/>
          <w:sz w:val="32"/>
          <w:szCs w:val="32"/>
          <w:lang w:val="en-US" w:eastAsia="zh-CN" w:bidi="ar"/>
        </w:rPr>
        <w:t>数据交易平台研究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49.广西提升人工智能+制造应用场景研究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50.推动数据产业高质量发展研究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51.广西建设跨境算力交易平台研究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52.打造科创广西先行试验区的若干措施研究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四、对外开放与合作</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53.中国</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东盟自贸区3.0版规则在广西的先行先试与压力测试研究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54.广西服务构建中国</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东盟超大市场的枢纽功能研究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55.中国</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东盟跨境电商与数字贸易规则对接研究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56.面向东盟的“留学广西”品牌建设与教育质量提升研究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57.中越跨境经济合作区“两国双园”模式创新研究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58.中越边境智慧口岸建设与跨境物流效率提升研究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59.中国</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越南人工智能创新合作中心建设研究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60.中越跨境电商与数字贸易规则对接研究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61.中越新能源产业链合作提质升级研究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62.广西服务构建中越命运共同体的制度型开放研究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63.中越边境地区风险防控与韧性发展研究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64.基于发展与安全协同诉求下中越边境地区国土空间治理途径研究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65.广西沿边跨境产业合作模式创新研究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66.广西县域主动对接融入粤港澳大湾区产业协同发展研究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67.广西因地制宜发展边境特色优势产业研究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68.区域国别研究（自定选题及研究方向）</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69.国际形势与热点研究（自定选题及研究方向）</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70.中美关系研究（自定选题及研究方向）</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71.</w:t>
      </w:r>
      <w:r>
        <w:rPr>
          <w:rFonts w:hint="eastAsia" w:ascii="Times New Roman" w:hAnsi="Times New Roman" w:eastAsia="仿宋_GB2312" w:cs="Times New Roman"/>
          <w:kern w:val="0"/>
          <w:sz w:val="32"/>
          <w:szCs w:val="32"/>
          <w:lang w:val="en-US" w:eastAsia="zh-CN" w:bidi="ar"/>
        </w:rPr>
        <w:t>中国—东盟</w:t>
      </w:r>
      <w:r>
        <w:rPr>
          <w:rFonts w:hint="default" w:ascii="Times New Roman" w:hAnsi="Times New Roman" w:eastAsia="仿宋_GB2312" w:cs="Times New Roman"/>
          <w:kern w:val="0"/>
          <w:sz w:val="32"/>
          <w:szCs w:val="32"/>
          <w:lang w:val="en-US" w:eastAsia="zh-CN" w:bidi="ar"/>
        </w:rPr>
        <w:t>研究（自定选题及研究方向）</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五、社会与文化建设</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72.广西边境地区人口安全与稳边固边机制研究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73.广西生育支持政策体系优化与托育服务高质量发展研究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74.广西面向东盟的人力资源合作与跨境劳务管理研究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75.广西人口健康素质提升与公共卫生服务体系优化研究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76.中国自主知识体系的构建与文化软实力提升研究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77.国际传播中的广西形象建构研究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78.广西文旅融合高质量发展的路径与政策研究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79.数智赋能广西国际形象构建研究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80.数智赋能广西文化传承增强对外传播对策研究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81.广西非遗数智化传承影响因素及优化路径研究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82.高校重点群体毕业生就业现状调查及对策研究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83.教育数字化背景下高校学生生涯规划和创新创业教育模式研究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84.人工智能时代大学生就业创业意识与能力的培养研究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85.广西高校毕业生就业与招生、培养联动机制研究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86.新时代“枫桥经验”在广西的应用与基层矛盾化解</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87.人工智能在基层矛盾化解中的应用研究</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88.自选选题</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b w:val="0"/>
          <w:bCs/>
          <w:snapToGrid/>
          <w:color w:val="auto"/>
          <w:spacing w:val="0"/>
          <w:w w:val="100"/>
          <w:kern w:val="0"/>
          <w:position w:val="0"/>
          <w:sz w:val="32"/>
          <w:szCs w:val="32"/>
          <w:u w:val="none" w:color="auto"/>
          <w:vertAlign w:val="baseline"/>
          <w:lang w:val="en-US" w:eastAsia="zh-CN"/>
        </w:rPr>
      </w:pPr>
      <w:r>
        <w:rPr>
          <w:rFonts w:hint="default" w:ascii="Times New Roman" w:hAnsi="Times New Roman" w:eastAsia="仿宋_GB2312" w:cs="Times New Roman"/>
          <w:kern w:val="0"/>
          <w:sz w:val="32"/>
          <w:szCs w:val="32"/>
          <w:lang w:val="en-US" w:eastAsia="zh-CN" w:bidi="ar"/>
        </w:rPr>
        <w:t>文学、哲学、历史、政治、法学、马列、民族、社会、艺术、教育、经济、管理等各基础学科、交叉学科、冷门学科等可以自定选题。</w:t>
      </w:r>
      <w:r>
        <w:rPr>
          <w:rFonts w:hint="default" w:ascii="Times New Roman" w:hAnsi="Times New Roman" w:eastAsia="仿宋_GB2312" w:cs="Times New Roman"/>
          <w:b w:val="0"/>
          <w:bCs/>
          <w:snapToGrid/>
          <w:color w:val="auto"/>
          <w:spacing w:val="0"/>
          <w:w w:val="100"/>
          <w:kern w:val="0"/>
          <w:position w:val="0"/>
          <w:sz w:val="32"/>
          <w:szCs w:val="32"/>
          <w:u w:val="none" w:color="auto"/>
          <w:vertAlign w:val="baseline"/>
          <w:lang w:val="en-US" w:eastAsia="zh-CN"/>
        </w:rPr>
        <w:t>其他应用性选题在经过与自治区社科联沟通确认后，可以自定选题。</w:t>
      </w:r>
    </w:p>
    <w:p>
      <w:pPr>
        <w:keepNext w:val="0"/>
        <w:keepLines w:val="0"/>
        <w:pageBreakBefore w:val="0"/>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p>
    <w:sectPr>
      <w:footerReference r:id="rId3" w:type="default"/>
      <w:pgSz w:w="11907" w:h="16839"/>
      <w:pgMar w:top="1440" w:right="1800" w:bottom="1440" w:left="1800" w:header="851" w:footer="992"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DOqXm5zwAAAAUBAAAPAAAAAAAAAAEAIAAAADgAAABkcnMvZG93bnJldi54bWxQSwEC&#10;FAAUAAAACACHTuJAEaqKiq4BAABLAwAADgAAAAAAAAABACAAAAA0AQAAZHJzL2Uyb0RvYy54bWxQ&#10;SwUGAAAAAAYABgBZAQAAVAUAAAAA&#10;">
              <v:fill on="f" focussize="0,0"/>
              <v:stroke on="f"/>
              <v:imagedata o:title=""/>
              <o:lock v:ext="edit" aspectratio="f"/>
              <v:textbox inset="0mm,0mm,0mm,0mm" style="mso-fit-shape-to-text:t;">
                <w:txbxContent>
                  <w:p>
                    <w:pPr>
                      <w:pStyle w:val="2"/>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DD1821"/>
    <w:rsid w:val="00336663"/>
    <w:rsid w:val="0F3B6C1D"/>
    <w:rsid w:val="1B976158"/>
    <w:rsid w:val="20BF320D"/>
    <w:rsid w:val="27926698"/>
    <w:rsid w:val="2E711AAA"/>
    <w:rsid w:val="3B9C549B"/>
    <w:rsid w:val="3DFFCE1E"/>
    <w:rsid w:val="3EBD7BD3"/>
    <w:rsid w:val="3EDF99CF"/>
    <w:rsid w:val="3F7B75E0"/>
    <w:rsid w:val="3FC72269"/>
    <w:rsid w:val="3FFF252A"/>
    <w:rsid w:val="40046496"/>
    <w:rsid w:val="49DD1821"/>
    <w:rsid w:val="4B9B47C1"/>
    <w:rsid w:val="4C986DF6"/>
    <w:rsid w:val="521F359A"/>
    <w:rsid w:val="59AA0627"/>
    <w:rsid w:val="5AE846ED"/>
    <w:rsid w:val="5AF80247"/>
    <w:rsid w:val="5BFB2BD8"/>
    <w:rsid w:val="5FD382BB"/>
    <w:rsid w:val="5FFC9E76"/>
    <w:rsid w:val="63BF3DDA"/>
    <w:rsid w:val="6D3D3B9D"/>
    <w:rsid w:val="737E4F8F"/>
    <w:rsid w:val="767F3A23"/>
    <w:rsid w:val="7AF79F0C"/>
    <w:rsid w:val="7FAFF994"/>
    <w:rsid w:val="7FE76F03"/>
    <w:rsid w:val="7FEFEBB8"/>
    <w:rsid w:val="7FF8352D"/>
    <w:rsid w:val="83DBA6E4"/>
    <w:rsid w:val="8DDBDC97"/>
    <w:rsid w:val="9B5B190E"/>
    <w:rsid w:val="B4BF7C3E"/>
    <w:rsid w:val="B9DB1759"/>
    <w:rsid w:val="CDD7BAFC"/>
    <w:rsid w:val="D7FA82A2"/>
    <w:rsid w:val="DA11441A"/>
    <w:rsid w:val="DDEA9455"/>
    <w:rsid w:val="DEBF7422"/>
    <w:rsid w:val="EDF34C59"/>
    <w:rsid w:val="EE93259B"/>
    <w:rsid w:val="EFF2B1E9"/>
    <w:rsid w:val="EFFBD30F"/>
    <w:rsid w:val="F3CE03EE"/>
    <w:rsid w:val="FAFFEB39"/>
    <w:rsid w:val="FDBF3A15"/>
    <w:rsid w:val="FDFF5B6C"/>
    <w:rsid w:val="FEBF799F"/>
    <w:rsid w:val="FF6CCD69"/>
    <w:rsid w:val="FF77FE4C"/>
    <w:rsid w:val="FFAEBBDF"/>
    <w:rsid w:val="FFBBF39F"/>
    <w:rsid w:val="FFC99105"/>
    <w:rsid w:val="FFEDF6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样式3"/>
    <w:basedOn w:val="1"/>
    <w:next w:val="1"/>
    <w:qFormat/>
    <w:uiPriority w:val="0"/>
    <w:pPr>
      <w:keepNext/>
      <w:keepLines/>
      <w:ind w:firstLine="632"/>
      <w:outlineLvl w:val="2"/>
    </w:pPr>
    <w:rPr>
      <w:rFonts w:hint="eastAsia" w:ascii="Times New Roman" w:hAnsi="Times New Roman" w:eastAsia="楷体" w:cs="Times New Roman"/>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4197</Words>
  <Characters>4494</Characters>
  <Lines>0</Lines>
  <Paragraphs>0</Paragraphs>
  <TotalTime>8</TotalTime>
  <ScaleCrop>false</ScaleCrop>
  <LinksUpToDate>false</LinksUpToDate>
  <CharactersWithSpaces>4684</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2026-03-17T01:12:00Z</dcterms:created>
  <dc:creator>快乐</dc:creator>
  <cp:lastModifiedBy>gxxc</cp:lastModifiedBy>
  <cp:lastPrinted>2026-03-20T17:34:00Z</cp:lastPrinted>
  <dcterms:modified xsi:type="dcterms:W3CDTF">2026-03-20T18:24:14Z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CC536B55016D4610B2271B1D4C760FC9_13</vt:lpwstr>
  </property>
  <property fmtid="{D5CDD505-2E9C-101B-9397-08002B2CF9AE}" pid="4" name="KSOTemplateDocerSaveRecord">
    <vt:lpwstr>eyJoZGlkIjoiOTJhM2UwODE2MjVjZTU1OGY3Y2JiYWU1MTdkZWU2NTciLCJ1c2VySWQiOiI0MjA0MjQ5MDgifQ==</vt:lpwstr>
  </property>
</Properties>
</file>